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23" w:rsidRDefault="00CD6BD3"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-1434465</wp:posOffset>
            </wp:positionV>
            <wp:extent cx="10687050" cy="7557173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rumento-01_Fenomenos-Contingencias-Institucionales-PORTAD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7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2C7523" w:rsidRDefault="002C7523"/>
    <w:p w:rsidR="006A2A94" w:rsidRPr="006A2A94" w:rsidRDefault="006A2A94" w:rsidP="006A2A94">
      <w:pPr>
        <w:ind w:left="5040"/>
        <w:jc w:val="center"/>
        <w:rPr>
          <w:rFonts w:asciiTheme="minorHAnsi" w:hAnsiTheme="minorHAnsi" w:cstheme="minorHAnsi"/>
          <w:color w:val="2A4B69"/>
          <w:sz w:val="72"/>
          <w:szCs w:val="72"/>
        </w:rPr>
      </w:pPr>
      <w:r w:rsidRPr="006A2A94">
        <w:rPr>
          <w:rFonts w:asciiTheme="minorHAnsi" w:hAnsiTheme="minorHAnsi" w:cstheme="minorHAnsi"/>
          <w:color w:val="2A4B69"/>
          <w:sz w:val="72"/>
          <w:szCs w:val="72"/>
        </w:rPr>
        <w:t xml:space="preserve">Instrumento </w:t>
      </w:r>
      <w:r w:rsidR="00CC3C19">
        <w:rPr>
          <w:rFonts w:asciiTheme="minorHAnsi" w:hAnsiTheme="minorHAnsi" w:cstheme="minorHAnsi"/>
          <w:color w:val="2A4B69"/>
          <w:sz w:val="72"/>
          <w:szCs w:val="72"/>
        </w:rPr>
        <w:t>3</w:t>
      </w:r>
    </w:p>
    <w:p w:rsidR="00DB33CF" w:rsidRDefault="006A2A94" w:rsidP="00DB33CF">
      <w:pPr>
        <w:ind w:left="5040"/>
        <w:jc w:val="center"/>
        <w:rPr>
          <w:rFonts w:asciiTheme="minorHAnsi" w:hAnsiTheme="minorHAnsi" w:cstheme="minorHAnsi"/>
          <w:color w:val="2A4B69"/>
          <w:sz w:val="28"/>
          <w:szCs w:val="28"/>
        </w:rPr>
      </w:pPr>
      <w:r>
        <w:rPr>
          <w:rFonts w:asciiTheme="minorHAnsi" w:hAnsiTheme="minorHAnsi" w:cstheme="minorHAnsi"/>
          <w:color w:val="2A4B69"/>
          <w:sz w:val="28"/>
          <w:szCs w:val="28"/>
        </w:rPr>
        <w:t>Fenómeno Contingencias Institucionales</w:t>
      </w: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</w:pPr>
    </w:p>
    <w:p w:rsidR="00DB33CF" w:rsidRDefault="00DB33CF" w:rsidP="00DB33CF">
      <w:pPr>
        <w:pStyle w:val="PiedetablaEA"/>
        <w:jc w:val="left"/>
      </w:pPr>
    </w:p>
    <w:p w:rsidR="00CD6BD3" w:rsidRPr="00CD6BD3" w:rsidRDefault="00CD6BD3" w:rsidP="00CD6BD3">
      <w:pPr>
        <w:jc w:val="center"/>
        <w:rPr>
          <w:rFonts w:asciiTheme="minorHAnsi" w:hAnsiTheme="minorHAnsi" w:cstheme="minorHAnsi"/>
          <w:b/>
          <w:color w:val="2A4B69"/>
          <w:sz w:val="20"/>
          <w:szCs w:val="20"/>
          <w:lang w:val="es-MX"/>
        </w:rPr>
      </w:pPr>
      <w:r w:rsidRPr="00CD6BD3">
        <w:rPr>
          <w:rFonts w:asciiTheme="minorHAnsi" w:hAnsiTheme="minorHAnsi" w:cstheme="minorHAnsi"/>
          <w:b/>
          <w:color w:val="2A4B69"/>
          <w:sz w:val="20"/>
          <w:szCs w:val="20"/>
          <w:lang w:val="es-MX"/>
        </w:rPr>
        <w:lastRenderedPageBreak/>
        <w:t>Formato 3. Indicadores de riesgo en contingencias por disonancia socio-cognitiva en los sistemas de creencias y de valores de las comunidades</w:t>
      </w:r>
    </w:p>
    <w:p w:rsidR="00CD6BD3" w:rsidRPr="00681F08" w:rsidRDefault="00CD6BD3" w:rsidP="00CD6BD3">
      <w:pPr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15310" w:type="dxa"/>
        <w:tblInd w:w="137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37"/>
        <w:gridCol w:w="5593"/>
        <w:gridCol w:w="851"/>
        <w:gridCol w:w="850"/>
        <w:gridCol w:w="905"/>
        <w:gridCol w:w="5474"/>
      </w:tblGrid>
      <w:tr w:rsidR="00CD6BD3" w:rsidRPr="00CD6BD3" w:rsidTr="00CD6BD3">
        <w:trPr>
          <w:trHeight w:val="959"/>
        </w:trPr>
        <w:tc>
          <w:tcPr>
            <w:tcW w:w="1637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D6BD3">
              <w:rPr>
                <w:rFonts w:asciiTheme="minorHAnsi" w:hAnsiTheme="minorHAnsi" w:cstheme="minorHAnsi"/>
                <w:b/>
                <w:sz w:val="18"/>
                <w:szCs w:val="20"/>
              </w:rPr>
              <w:t>DIMENSIÓN</w:t>
            </w:r>
          </w:p>
        </w:tc>
        <w:tc>
          <w:tcPr>
            <w:tcW w:w="5593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D6BD3">
              <w:rPr>
                <w:rFonts w:asciiTheme="minorHAnsi" w:hAnsiTheme="minorHAnsi" w:cstheme="minorHAnsi"/>
                <w:b/>
                <w:sz w:val="18"/>
                <w:szCs w:val="20"/>
              </w:rPr>
              <w:t>TIPO DE RIESGO</w:t>
            </w: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D6BD3">
              <w:rPr>
                <w:rFonts w:asciiTheme="minorHAnsi" w:hAnsiTheme="minorHAnsi" w:cstheme="minorHAnsi"/>
                <w:b/>
                <w:sz w:val="18"/>
                <w:szCs w:val="20"/>
              </w:rPr>
              <w:t>ALTO RIESGO (3)</w:t>
            </w: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D6BD3">
              <w:rPr>
                <w:rFonts w:asciiTheme="minorHAnsi" w:hAnsiTheme="minorHAnsi" w:cstheme="minorHAnsi"/>
                <w:b/>
                <w:sz w:val="18"/>
                <w:szCs w:val="20"/>
              </w:rPr>
              <w:t>MEDIO RIESGO (2)</w:t>
            </w:r>
          </w:p>
        </w:tc>
        <w:tc>
          <w:tcPr>
            <w:tcW w:w="905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D6BD3">
              <w:rPr>
                <w:rFonts w:asciiTheme="minorHAnsi" w:hAnsiTheme="minorHAnsi" w:cstheme="minorHAnsi"/>
                <w:b/>
                <w:sz w:val="18"/>
                <w:szCs w:val="20"/>
              </w:rPr>
              <w:t>BAJO RIESGO (1)</w:t>
            </w:r>
          </w:p>
        </w:tc>
        <w:tc>
          <w:tcPr>
            <w:tcW w:w="5474" w:type="dxa"/>
            <w:tcBorders>
              <w:top w:val="single" w:sz="4" w:space="0" w:color="16A3EE"/>
              <w:left w:val="single" w:sz="4" w:space="0" w:color="16A3EE"/>
              <w:bottom w:val="none" w:sz="6" w:space="0" w:color="auto"/>
              <w:right w:val="single" w:sz="4" w:space="0" w:color="16A3EE"/>
            </w:tcBorders>
            <w:shd w:val="clear" w:color="auto" w:fill="043468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D6BD3">
              <w:rPr>
                <w:rFonts w:asciiTheme="minorHAnsi" w:hAnsiTheme="minorHAnsi" w:cstheme="minorHAnsi"/>
                <w:b/>
                <w:sz w:val="18"/>
                <w:szCs w:val="20"/>
              </w:rPr>
              <w:t>OBSERVACIÓN</w:t>
            </w:r>
          </w:p>
        </w:tc>
      </w:tr>
      <w:tr w:rsidR="00CD6BD3" w:rsidRPr="00CD6BD3" w:rsidTr="00CD6BD3">
        <w:trPr>
          <w:trHeight w:val="1594"/>
        </w:trPr>
        <w:tc>
          <w:tcPr>
            <w:tcW w:w="1637" w:type="dxa"/>
            <w:vMerge w:val="restart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CD6BD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Comunitaria</w:t>
            </w:r>
          </w:p>
        </w:tc>
        <w:tc>
          <w:tcPr>
            <w:tcW w:w="5593" w:type="dxa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CD6BD3" w:rsidRPr="00CD6BD3" w:rsidRDefault="00CD6BD3" w:rsidP="00E04CFD">
            <w:pPr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  <w:r w:rsidRPr="00CD6BD3">
              <w:rPr>
                <w:rFonts w:asciiTheme="minorHAnsi" w:hAnsiTheme="minorHAnsi" w:cstheme="minorHAnsi"/>
                <w:sz w:val="18"/>
                <w:szCs w:val="20"/>
                <w:lang w:val="es-MX"/>
              </w:rPr>
              <w:t>Expresiones de intolerancia y/o de rechazo frente decisiones que involucran posiciones éticas, ideológicas y religiosas. Por ejemplo, aprobar o no: el aborto, el matrimonio gay, el consumo de alucinógenos, entre otros.</w:t>
            </w:r>
          </w:p>
        </w:tc>
        <w:tc>
          <w:tcPr>
            <w:tcW w:w="851" w:type="dxa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905" w:type="dxa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5474" w:type="dxa"/>
            <w:tcBorders>
              <w:top w:val="none" w:sz="6" w:space="0" w:color="auto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CD6BD3" w:rsidRPr="00CD6BD3" w:rsidRDefault="00CD6BD3" w:rsidP="00E04CFD">
            <w:pPr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</w:tr>
      <w:tr w:rsidR="00CD6BD3" w:rsidRPr="00CD6BD3" w:rsidTr="00CD6BD3">
        <w:trPr>
          <w:trHeight w:val="1327"/>
        </w:trPr>
        <w:tc>
          <w:tcPr>
            <w:tcW w:w="1637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CD6BD3" w:rsidRPr="00CD6BD3" w:rsidRDefault="00CD6BD3" w:rsidP="00E04CFD">
            <w:pPr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559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CD6BD3" w:rsidRPr="00CD6BD3" w:rsidRDefault="00CD6BD3" w:rsidP="00E04CFD">
            <w:pPr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  <w:r w:rsidRPr="00CD6BD3">
              <w:rPr>
                <w:rFonts w:asciiTheme="minorHAnsi" w:hAnsiTheme="minorHAnsi" w:cstheme="minorHAnsi"/>
                <w:sz w:val="18"/>
                <w:szCs w:val="20"/>
                <w:lang w:val="es-MX"/>
              </w:rPr>
              <w:t>Manifestaciones de rechazo frente a prácticas socioculturales de personas de otros grupos étnicos, que conviven en la IES</w:t>
            </w: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5474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CD6BD3" w:rsidRPr="00CD6BD3" w:rsidRDefault="00CD6BD3" w:rsidP="00E04CFD">
            <w:pPr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</w:tr>
      <w:tr w:rsidR="00CD6BD3" w:rsidRPr="00CD6BD3" w:rsidTr="00CD6BD3">
        <w:trPr>
          <w:trHeight w:val="1304"/>
        </w:trPr>
        <w:tc>
          <w:tcPr>
            <w:tcW w:w="1637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CD6BD3" w:rsidRPr="00CD6BD3" w:rsidRDefault="00CD6BD3" w:rsidP="00E04CFD">
            <w:pPr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559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CD6BD3" w:rsidRPr="00CD6BD3" w:rsidRDefault="00CD6BD3" w:rsidP="00E04CFD">
            <w:pPr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  <w:r w:rsidRPr="00CD6BD3">
              <w:rPr>
                <w:rFonts w:asciiTheme="minorHAnsi" w:hAnsiTheme="minorHAnsi" w:cstheme="minorHAnsi"/>
                <w:sz w:val="18"/>
                <w:szCs w:val="20"/>
                <w:lang w:val="es-MX"/>
              </w:rPr>
              <w:t>Expresiones y acciones que ignoran o que excluyen los saberes de otras culturas o los saberes de frontera presentes en las IES</w:t>
            </w: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5474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FF2FD"/>
            <w:vAlign w:val="center"/>
          </w:tcPr>
          <w:p w:rsidR="00CD6BD3" w:rsidRPr="00CD6BD3" w:rsidRDefault="00CD6BD3" w:rsidP="00E04CFD">
            <w:pPr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</w:tr>
      <w:tr w:rsidR="00CD6BD3" w:rsidRPr="00CD6BD3" w:rsidTr="00CD6BD3">
        <w:trPr>
          <w:trHeight w:val="1205"/>
        </w:trPr>
        <w:tc>
          <w:tcPr>
            <w:tcW w:w="1637" w:type="dxa"/>
            <w:vMerge/>
            <w:tcBorders>
              <w:top w:val="nil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06589C"/>
          </w:tcPr>
          <w:p w:rsidR="00CD6BD3" w:rsidRPr="00CD6BD3" w:rsidRDefault="00CD6BD3" w:rsidP="00E04CFD">
            <w:pPr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5593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CD6BD3" w:rsidRPr="00CD6BD3" w:rsidRDefault="00CD6BD3" w:rsidP="00E04CFD">
            <w:pPr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  <w:r w:rsidRPr="00CD6BD3">
              <w:rPr>
                <w:rFonts w:asciiTheme="minorHAnsi" w:hAnsiTheme="minorHAnsi" w:cstheme="minorHAnsi"/>
                <w:sz w:val="18"/>
                <w:szCs w:val="20"/>
                <w:lang w:val="es-MX"/>
              </w:rPr>
              <w:t>Actitudes de dominancia y exigencia de sumisión en la generación de decisiones políticas, teóricas o metodológicas que exigen tener en cuenta las condiciones socio-culturales, sensoriales, lingüísticas y físicas de la diversidad poblacional que convive en las IES.</w:t>
            </w:r>
          </w:p>
        </w:tc>
        <w:tc>
          <w:tcPr>
            <w:tcW w:w="851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CD6BD3" w:rsidRPr="00CD6BD3" w:rsidRDefault="00CD6BD3" w:rsidP="00E04CF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  <w:tc>
          <w:tcPr>
            <w:tcW w:w="5474" w:type="dxa"/>
            <w:tcBorders>
              <w:top w:val="single" w:sz="4" w:space="0" w:color="16A3EE"/>
              <w:left w:val="single" w:sz="4" w:space="0" w:color="16A3EE"/>
              <w:bottom w:val="single" w:sz="4" w:space="0" w:color="16A3EE"/>
              <w:right w:val="single" w:sz="4" w:space="0" w:color="16A3EE"/>
            </w:tcBorders>
            <w:shd w:val="clear" w:color="auto" w:fill="D0EBFC"/>
            <w:vAlign w:val="center"/>
          </w:tcPr>
          <w:p w:rsidR="00CD6BD3" w:rsidRPr="00CD6BD3" w:rsidRDefault="00CD6BD3" w:rsidP="00E04CFD">
            <w:pPr>
              <w:rPr>
                <w:rFonts w:asciiTheme="minorHAnsi" w:hAnsiTheme="minorHAnsi" w:cstheme="minorHAnsi"/>
                <w:sz w:val="18"/>
                <w:szCs w:val="20"/>
                <w:lang w:val="es-MX"/>
              </w:rPr>
            </w:pPr>
          </w:p>
        </w:tc>
      </w:tr>
    </w:tbl>
    <w:p w:rsidR="00704BA0" w:rsidRPr="00CD6BD3" w:rsidRDefault="00704BA0" w:rsidP="00CD6BD3">
      <w:pPr>
        <w:rPr>
          <w:lang w:val="es-MX"/>
        </w:rPr>
      </w:pPr>
      <w:bookmarkStart w:id="0" w:name="_GoBack"/>
      <w:bookmarkEnd w:id="0"/>
    </w:p>
    <w:sectPr w:rsidR="00704BA0" w:rsidRPr="00CD6BD3" w:rsidSect="00DB33CF">
      <w:headerReference w:type="default" r:id="rId7"/>
      <w:pgSz w:w="16838" w:h="11906" w:orient="landscape" w:code="9"/>
      <w:pgMar w:top="22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41" w:rsidRDefault="00832E41" w:rsidP="00BD7E9A">
      <w:r>
        <w:separator/>
      </w:r>
    </w:p>
  </w:endnote>
  <w:endnote w:type="continuationSeparator" w:id="0">
    <w:p w:rsidR="00832E41" w:rsidRDefault="00832E41" w:rsidP="00BD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41" w:rsidRDefault="00832E41" w:rsidP="00BD7E9A">
      <w:r>
        <w:separator/>
      </w:r>
    </w:p>
  </w:footnote>
  <w:footnote w:type="continuationSeparator" w:id="0">
    <w:p w:rsidR="00832E41" w:rsidRDefault="00832E41" w:rsidP="00BD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9A" w:rsidRPr="00BD7E9A" w:rsidRDefault="00BD7E9A" w:rsidP="00BD7E9A">
    <w:pPr>
      <w:pStyle w:val="Encabezado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-466726</wp:posOffset>
          </wp:positionV>
          <wp:extent cx="10668111" cy="13430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2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11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1D"/>
    <w:rsid w:val="000C1E83"/>
    <w:rsid w:val="002C516E"/>
    <w:rsid w:val="002C7523"/>
    <w:rsid w:val="002E0B1D"/>
    <w:rsid w:val="003D1382"/>
    <w:rsid w:val="004F371C"/>
    <w:rsid w:val="005F2973"/>
    <w:rsid w:val="00681AA7"/>
    <w:rsid w:val="00682F7F"/>
    <w:rsid w:val="006A2A94"/>
    <w:rsid w:val="00704BA0"/>
    <w:rsid w:val="00832E41"/>
    <w:rsid w:val="00A12EF1"/>
    <w:rsid w:val="00A44E4B"/>
    <w:rsid w:val="00AD3A50"/>
    <w:rsid w:val="00B220CF"/>
    <w:rsid w:val="00BD7E9A"/>
    <w:rsid w:val="00C86E51"/>
    <w:rsid w:val="00CC3C19"/>
    <w:rsid w:val="00CD6BD3"/>
    <w:rsid w:val="00DB33CF"/>
    <w:rsid w:val="00EE25CD"/>
    <w:rsid w:val="00F6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18589"/>
  <w15:chartTrackingRefBased/>
  <w15:docId w15:val="{05A0601E-D409-43F7-B7E5-4AA84085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0B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B1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0B1D"/>
  </w:style>
  <w:style w:type="paragraph" w:styleId="Textoindependiente">
    <w:name w:val="Body Text"/>
    <w:basedOn w:val="Normal"/>
    <w:link w:val="TextoindependienteCar"/>
    <w:uiPriority w:val="1"/>
    <w:qFormat/>
    <w:rsid w:val="00A12EF1"/>
    <w:pPr>
      <w:adjustRightInd w:val="0"/>
    </w:pPr>
    <w:rPr>
      <w:rFonts w:eastAsiaTheme="minorEastAsia"/>
      <w:b/>
      <w:bCs/>
      <w:sz w:val="19"/>
      <w:szCs w:val="19"/>
      <w:lang w:val="en-US"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2EF1"/>
    <w:rPr>
      <w:rFonts w:ascii="Calibri" w:eastAsiaTheme="minorEastAsia" w:hAnsi="Calibri" w:cs="Calibri"/>
      <w:b/>
      <w:bCs/>
      <w:sz w:val="19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BD7E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E9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D7E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E9A"/>
    <w:rPr>
      <w:rFonts w:ascii="Calibri" w:eastAsia="Calibri" w:hAnsi="Calibri" w:cs="Calibri"/>
      <w:lang w:val="es-ES" w:eastAsia="es-ES" w:bidi="es-ES"/>
    </w:rPr>
  </w:style>
  <w:style w:type="paragraph" w:customStyle="1" w:styleId="PiedetablaEA">
    <w:name w:val="Pie de tabla (EA)"/>
    <w:basedOn w:val="Normal"/>
    <w:uiPriority w:val="99"/>
    <w:rsid w:val="00DB33CF"/>
    <w:pPr>
      <w:widowControl/>
      <w:suppressAutoHyphens/>
      <w:adjustRightInd w:val="0"/>
      <w:spacing w:after="130" w:line="288" w:lineRule="auto"/>
      <w:jc w:val="center"/>
      <w:textAlignment w:val="center"/>
    </w:pPr>
    <w:rPr>
      <w:rFonts w:eastAsiaTheme="minorHAnsi"/>
      <w:b/>
      <w:bCs/>
      <w:color w:val="043468"/>
      <w:spacing w:val="-1"/>
      <w:sz w:val="19"/>
      <w:szCs w:val="19"/>
      <w:lang w:val="es-ES_tradn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Mauricio Vargas Rincón</dc:creator>
  <cp:keywords/>
  <dc:description/>
  <cp:lastModifiedBy>Freddy Mauricio Vargas Rincón</cp:lastModifiedBy>
  <cp:revision>3</cp:revision>
  <dcterms:created xsi:type="dcterms:W3CDTF">2019-07-29T15:55:00Z</dcterms:created>
  <dcterms:modified xsi:type="dcterms:W3CDTF">2019-07-29T16:05:00Z</dcterms:modified>
</cp:coreProperties>
</file>