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23" w:rsidRDefault="00DB33CF"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-1434465</wp:posOffset>
            </wp:positionV>
            <wp:extent cx="10687050" cy="7557173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rumento-01_Fenomenos-Contingencias-Institucionales-PORTAD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7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6A2A94" w:rsidRPr="006A2A94" w:rsidRDefault="006A2A94" w:rsidP="006A2A94">
      <w:pPr>
        <w:ind w:left="5040"/>
        <w:jc w:val="center"/>
        <w:rPr>
          <w:rFonts w:asciiTheme="minorHAnsi" w:hAnsiTheme="minorHAnsi" w:cstheme="minorHAnsi"/>
          <w:color w:val="2A4B69"/>
          <w:sz w:val="72"/>
          <w:szCs w:val="72"/>
        </w:rPr>
      </w:pPr>
      <w:r w:rsidRPr="006A2A94">
        <w:rPr>
          <w:rFonts w:asciiTheme="minorHAnsi" w:hAnsiTheme="minorHAnsi" w:cstheme="minorHAnsi"/>
          <w:color w:val="2A4B69"/>
          <w:sz w:val="72"/>
          <w:szCs w:val="72"/>
        </w:rPr>
        <w:t xml:space="preserve">Instrumento </w:t>
      </w:r>
      <w:r w:rsidR="00AD3A50">
        <w:rPr>
          <w:rFonts w:asciiTheme="minorHAnsi" w:hAnsiTheme="minorHAnsi" w:cstheme="minorHAnsi"/>
          <w:color w:val="2A4B69"/>
          <w:sz w:val="72"/>
          <w:szCs w:val="72"/>
        </w:rPr>
        <w:t>2</w:t>
      </w:r>
      <w:bookmarkStart w:id="0" w:name="_GoBack"/>
      <w:bookmarkEnd w:id="0"/>
    </w:p>
    <w:p w:rsidR="00DB33CF" w:rsidRDefault="006A2A94" w:rsidP="00DB33CF">
      <w:pPr>
        <w:ind w:left="5040"/>
        <w:jc w:val="center"/>
        <w:rPr>
          <w:rFonts w:asciiTheme="minorHAnsi" w:hAnsiTheme="minorHAnsi" w:cstheme="minorHAnsi"/>
          <w:color w:val="2A4B69"/>
          <w:sz w:val="28"/>
          <w:szCs w:val="28"/>
        </w:rPr>
      </w:pPr>
      <w:r>
        <w:rPr>
          <w:rFonts w:asciiTheme="minorHAnsi" w:hAnsiTheme="minorHAnsi" w:cstheme="minorHAnsi"/>
          <w:color w:val="2A4B69"/>
          <w:sz w:val="28"/>
          <w:szCs w:val="28"/>
        </w:rPr>
        <w:t>Fenómeno Contingencias Institucionales</w:t>
      </w: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  <w:jc w:val="left"/>
      </w:pPr>
    </w:p>
    <w:p w:rsidR="00DB33CF" w:rsidRDefault="00DB33CF" w:rsidP="00DB33CF">
      <w:pPr>
        <w:pStyle w:val="PiedetablaEA"/>
      </w:pPr>
      <w:r>
        <w:lastRenderedPageBreak/>
        <w:t>Formato 1</w:t>
      </w:r>
      <w:r w:rsidRPr="00DB33CF">
        <w:rPr>
          <w:i/>
          <w:iCs/>
          <w:lang w:val="es-MX"/>
        </w:rPr>
        <w:t>.</w:t>
      </w:r>
      <w:r>
        <w:t xml:space="preserve"> Indicadores de riesgo en contingencias generadas por fenómenos físicos naturales</w:t>
      </w:r>
    </w:p>
    <w:p w:rsidR="00A12EF1" w:rsidRDefault="00A12EF1">
      <w:pPr>
        <w:rPr>
          <w:lang w:val="en-US"/>
        </w:rPr>
      </w:pPr>
    </w:p>
    <w:tbl>
      <w:tblPr>
        <w:tblW w:w="0" w:type="auto"/>
        <w:tblInd w:w="27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54"/>
        <w:gridCol w:w="1000"/>
        <w:gridCol w:w="5933"/>
        <w:gridCol w:w="862"/>
        <w:gridCol w:w="850"/>
        <w:gridCol w:w="851"/>
        <w:gridCol w:w="3977"/>
      </w:tblGrid>
      <w:tr w:rsidR="00704BA0" w:rsidRPr="00767348" w:rsidTr="00704BA0">
        <w:trPr>
          <w:trHeight w:val="621"/>
          <w:tblHeader/>
        </w:trPr>
        <w:tc>
          <w:tcPr>
            <w:tcW w:w="1554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DIMENSIÓN</w:t>
            </w: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ASPECTO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TIPO DE RIESGO</w:t>
            </w:r>
          </w:p>
        </w:tc>
        <w:tc>
          <w:tcPr>
            <w:tcW w:w="862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ALTO</w:t>
            </w: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RIESGO (3)</w:t>
            </w: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MEDIO</w:t>
            </w: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RIESGO (2)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BAJO</w:t>
            </w: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RIESGO (1)</w:t>
            </w:r>
          </w:p>
        </w:tc>
        <w:tc>
          <w:tcPr>
            <w:tcW w:w="3977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OBSERVACIÓN</w:t>
            </w:r>
          </w:p>
        </w:tc>
      </w:tr>
      <w:tr w:rsidR="00704BA0" w:rsidRPr="00767348" w:rsidTr="00704BA0">
        <w:trPr>
          <w:trHeight w:val="381"/>
        </w:trPr>
        <w:tc>
          <w:tcPr>
            <w:tcW w:w="1554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Organizativa</w:t>
            </w:r>
          </w:p>
        </w:tc>
        <w:tc>
          <w:tcPr>
            <w:tcW w:w="6933" w:type="dxa"/>
            <w:gridSpan w:val="2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DEL ORDEN DE LA GESTIÓN ADMINISTRATIVA</w:t>
            </w:r>
          </w:p>
        </w:tc>
        <w:tc>
          <w:tcPr>
            <w:tcW w:w="862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608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Manifestaciones de inconformidad del personal administrativo frente a las decisiones directivas que afectan sus prácticas profesionales.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541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Expresiones de inconformidad del personal docente frente a las</w:t>
            </w:r>
          </w:p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decisiones administrativas que afectan sus condiciones laborales.</w:t>
            </w:r>
          </w:p>
        </w:tc>
        <w:tc>
          <w:tcPr>
            <w:tcW w:w="86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781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c)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Expresiones de inconformidad frente a actitudes administrativas que ignoran necesidades de cambio por intervención de tecnologías</w:t>
            </w:r>
          </w:p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 de condiciones de los espacios físicos y recursos materiales.</w:t>
            </w:r>
          </w:p>
        </w:tc>
        <w:tc>
          <w:tcPr>
            <w:tcW w:w="86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692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d)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Inconformidad del estudiantado frente a las decisiones administrativas que afectan sus prácticas de formación profesional.</w:t>
            </w:r>
          </w:p>
        </w:tc>
        <w:tc>
          <w:tcPr>
            <w:tcW w:w="86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376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DEL ORDEN DE LA GESTIÓN DEMOCRÁTICA</w:t>
            </w:r>
          </w:p>
        </w:tc>
        <w:tc>
          <w:tcPr>
            <w:tcW w:w="862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1021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Manifestaciones de conflictos y malestar por parte de: estudiantes, profesores y administrativos, a causa de la toma de decisiones institucionales de manera dominante y unilateral, que afectan sus</w:t>
            </w:r>
          </w:p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</w:rPr>
              <w:t>prácticas profesionales.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BA0" w:rsidRPr="00767348" w:rsidTr="00704BA0">
        <w:trPr>
          <w:trHeight w:val="445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DEL ORDEN DE LA GESTIÓN PARTICIPATIVA</w:t>
            </w:r>
          </w:p>
        </w:tc>
        <w:tc>
          <w:tcPr>
            <w:tcW w:w="862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781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Expresiones de inconformidad frente a propuestas socio culturales para la comunidad universitaria, que no consultan o no incluyen las</w:t>
            </w:r>
          </w:p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voces de la comunidad universitaria.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427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DEL ORDEN DE LA GESTIÓN INNOVADORA</w:t>
            </w:r>
          </w:p>
        </w:tc>
        <w:tc>
          <w:tcPr>
            <w:tcW w:w="862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1021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Expresiones de apatía y de rechazo por parte de la comunidad universitaria, frente a propuestas académicas, culturales y/o deportivas, anquilosadas y que no consultan las necesidades y</w:t>
            </w:r>
          </w:p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</w:rPr>
              <w:t>propuestas de la comunidad.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BA0" w:rsidRPr="00767348" w:rsidTr="00704BA0">
        <w:trPr>
          <w:trHeight w:val="413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DEL ORDEN DE LA GESTIÓN INTEGRADA DE LOS TEMAS DE LA INSTITUCIÓN</w:t>
            </w:r>
          </w:p>
        </w:tc>
        <w:tc>
          <w:tcPr>
            <w:tcW w:w="862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vMerge w:val="restart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04BA0" w:rsidRPr="00767348" w:rsidTr="00704BA0">
        <w:trPr>
          <w:trHeight w:val="856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Manifestación de inconformidad con el tratamiento desarticulado de temas como tensiones didácticas, bajo rendimiento y deserción, para la toma de decisiones en la institución.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97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:rsidR="00A12EF1" w:rsidRDefault="00A12EF1">
      <w:pPr>
        <w:rPr>
          <w:lang w:val="es-MX"/>
        </w:rPr>
      </w:pPr>
    </w:p>
    <w:tbl>
      <w:tblPr>
        <w:tblW w:w="15025" w:type="dxa"/>
        <w:tblInd w:w="27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54"/>
        <w:gridCol w:w="1000"/>
        <w:gridCol w:w="5933"/>
        <w:gridCol w:w="869"/>
        <w:gridCol w:w="850"/>
        <w:gridCol w:w="851"/>
        <w:gridCol w:w="3968"/>
      </w:tblGrid>
      <w:tr w:rsidR="00704BA0" w:rsidRPr="00767348" w:rsidTr="00704BA0">
        <w:trPr>
          <w:trHeight w:val="621"/>
          <w:tblHeader/>
        </w:trPr>
        <w:tc>
          <w:tcPr>
            <w:tcW w:w="1554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DIMENSIÓN</w:t>
            </w: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ASPECTO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TIPO DE RIESGO</w:t>
            </w:r>
          </w:p>
        </w:tc>
        <w:tc>
          <w:tcPr>
            <w:tcW w:w="869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ALTO</w:t>
            </w: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RIESGO (3)</w:t>
            </w: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MEDIO</w:t>
            </w: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RIESGO (2)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BAJO</w:t>
            </w:r>
          </w:p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RIESGO (1)</w:t>
            </w:r>
          </w:p>
        </w:tc>
        <w:tc>
          <w:tcPr>
            <w:tcW w:w="3968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OBSERVACIÓN</w:t>
            </w:r>
          </w:p>
        </w:tc>
      </w:tr>
      <w:tr w:rsidR="00704BA0" w:rsidRPr="00767348" w:rsidTr="00704BA0">
        <w:trPr>
          <w:trHeight w:val="613"/>
        </w:trPr>
        <w:tc>
          <w:tcPr>
            <w:tcW w:w="1554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Pedagógica- didáctica</w:t>
            </w:r>
          </w:p>
        </w:tc>
        <w:tc>
          <w:tcPr>
            <w:tcW w:w="6933" w:type="dxa"/>
            <w:gridSpan w:val="2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DEL ORDEN DE LA CULTURA INSTITUCIONAL</w:t>
            </w:r>
          </w:p>
        </w:tc>
        <w:tc>
          <w:tcPr>
            <w:tcW w:w="869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8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BA0" w:rsidRPr="00767348" w:rsidTr="00704BA0">
        <w:trPr>
          <w:trHeight w:val="937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</w:rPr>
              <w:t>Manifestaciones de valoraciones negativas sobre prácticas organizacionales que se expresan en los desempeños de los cargos en la IES, por considerarlos incoherentes o ineficientes.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BA0" w:rsidRPr="00767348" w:rsidTr="00704BA0">
        <w:trPr>
          <w:trHeight w:val="982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</w:rPr>
              <w:t>Expresiones de inconformidad y/o rechazo de prácticas académicas de enseñanza y de estrategias de aprendizaje, por considerarlas poco agradables, poco eficientes y autoritarias</w:t>
            </w:r>
          </w:p>
        </w:tc>
        <w:tc>
          <w:tcPr>
            <w:tcW w:w="86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BA0" w:rsidRPr="00767348" w:rsidTr="00704BA0">
        <w:trPr>
          <w:trHeight w:val="925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c)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</w:rPr>
              <w:t>Manifestaciones de desinterés y desconfianza por las relaciones de convivencia en la IES, tales como amistad, solidaridad, trabajo en grupo.</w:t>
            </w:r>
          </w:p>
        </w:tc>
        <w:tc>
          <w:tcPr>
            <w:tcW w:w="86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BA0" w:rsidRPr="00767348" w:rsidTr="00704BA0">
        <w:trPr>
          <w:trHeight w:val="1237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d)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</w:rPr>
              <w:t>Manifestaciones de rechazo y valoraciones negativas hacia prácticas pedagógicas institucionales y procesos orientados al desarrollo de identidad institucional y profesional, por poca presencia de liderazgo de actores de la comunidad.</w:t>
            </w:r>
          </w:p>
        </w:tc>
        <w:tc>
          <w:tcPr>
            <w:tcW w:w="86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BA0" w:rsidRPr="00767348" w:rsidTr="00704BA0">
        <w:trPr>
          <w:trHeight w:val="953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e)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</w:rPr>
              <w:t>Actitudes de rechazo a las relaciones de cooperación socio- profesional, al trabajo cooperativo, solidario y leal en los grupos de trabajo.</w:t>
            </w:r>
          </w:p>
        </w:tc>
        <w:tc>
          <w:tcPr>
            <w:tcW w:w="86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BA0" w:rsidRPr="00767348" w:rsidTr="00704BA0">
        <w:trPr>
          <w:trHeight w:val="977"/>
        </w:trPr>
        <w:tc>
          <w:tcPr>
            <w:tcW w:w="1554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b/>
                <w:sz w:val="20"/>
                <w:szCs w:val="20"/>
              </w:rPr>
              <w:t>f)</w:t>
            </w:r>
          </w:p>
        </w:tc>
        <w:tc>
          <w:tcPr>
            <w:tcW w:w="593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704BA0" w:rsidRPr="00767348" w:rsidRDefault="00704BA0" w:rsidP="00704B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7348">
              <w:rPr>
                <w:rFonts w:asciiTheme="minorHAnsi" w:hAnsiTheme="minorHAnsi" w:cstheme="minorHAnsi"/>
                <w:sz w:val="20"/>
                <w:szCs w:val="20"/>
              </w:rPr>
              <w:t>Actitudes displicentes y de descuido hacia las prácticas de uso de recursos y espacios disponibles en las IES como espacios de acción profesional.</w:t>
            </w:r>
          </w:p>
        </w:tc>
        <w:tc>
          <w:tcPr>
            <w:tcW w:w="86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704BA0" w:rsidRPr="00767348" w:rsidRDefault="00704BA0" w:rsidP="00E04C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04BA0" w:rsidRPr="00704BA0" w:rsidRDefault="00704BA0"/>
    <w:sectPr w:rsidR="00704BA0" w:rsidRPr="00704BA0" w:rsidSect="00DB33CF">
      <w:headerReference w:type="default" r:id="rId7"/>
      <w:pgSz w:w="16838" w:h="11906" w:orient="landscape" w:code="9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4C" w:rsidRDefault="00872B4C" w:rsidP="00BD7E9A">
      <w:r>
        <w:separator/>
      </w:r>
    </w:p>
  </w:endnote>
  <w:endnote w:type="continuationSeparator" w:id="0">
    <w:p w:rsidR="00872B4C" w:rsidRDefault="00872B4C" w:rsidP="00BD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4C" w:rsidRDefault="00872B4C" w:rsidP="00BD7E9A">
      <w:r>
        <w:separator/>
      </w:r>
    </w:p>
  </w:footnote>
  <w:footnote w:type="continuationSeparator" w:id="0">
    <w:p w:rsidR="00872B4C" w:rsidRDefault="00872B4C" w:rsidP="00BD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9A" w:rsidRPr="00BD7E9A" w:rsidRDefault="00BD7E9A" w:rsidP="00BD7E9A">
    <w:pPr>
      <w:pStyle w:val="Encabezado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-466726</wp:posOffset>
          </wp:positionV>
          <wp:extent cx="10668111" cy="13430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2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11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1D"/>
    <w:rsid w:val="000C1E83"/>
    <w:rsid w:val="002C516E"/>
    <w:rsid w:val="002C7523"/>
    <w:rsid w:val="002E0B1D"/>
    <w:rsid w:val="003D1382"/>
    <w:rsid w:val="004F371C"/>
    <w:rsid w:val="005F2973"/>
    <w:rsid w:val="00681AA7"/>
    <w:rsid w:val="00682F7F"/>
    <w:rsid w:val="006A2A94"/>
    <w:rsid w:val="00704BA0"/>
    <w:rsid w:val="00872B4C"/>
    <w:rsid w:val="00A12EF1"/>
    <w:rsid w:val="00AD3A50"/>
    <w:rsid w:val="00B220CF"/>
    <w:rsid w:val="00BD7E9A"/>
    <w:rsid w:val="00DB33CF"/>
    <w:rsid w:val="00EE25CD"/>
    <w:rsid w:val="00F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18589"/>
  <w15:chartTrackingRefBased/>
  <w15:docId w15:val="{05A0601E-D409-43F7-B7E5-4AA84085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0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B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0B1D"/>
  </w:style>
  <w:style w:type="paragraph" w:styleId="Textoindependiente">
    <w:name w:val="Body Text"/>
    <w:basedOn w:val="Normal"/>
    <w:link w:val="TextoindependienteCar"/>
    <w:uiPriority w:val="1"/>
    <w:qFormat/>
    <w:rsid w:val="00A12EF1"/>
    <w:pPr>
      <w:adjustRightInd w:val="0"/>
    </w:pPr>
    <w:rPr>
      <w:rFonts w:eastAsiaTheme="minorEastAsia"/>
      <w:b/>
      <w:bCs/>
      <w:sz w:val="19"/>
      <w:szCs w:val="19"/>
      <w:lang w:val="en-US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2EF1"/>
    <w:rPr>
      <w:rFonts w:ascii="Calibri" w:eastAsiaTheme="minorEastAsia" w:hAnsi="Calibri" w:cs="Calibri"/>
      <w:b/>
      <w:bCs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BD7E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E9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D7E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E9A"/>
    <w:rPr>
      <w:rFonts w:ascii="Calibri" w:eastAsia="Calibri" w:hAnsi="Calibri" w:cs="Calibri"/>
      <w:lang w:val="es-ES" w:eastAsia="es-ES" w:bidi="es-ES"/>
    </w:rPr>
  </w:style>
  <w:style w:type="paragraph" w:customStyle="1" w:styleId="PiedetablaEA">
    <w:name w:val="Pie de tabla (EA)"/>
    <w:basedOn w:val="Normal"/>
    <w:uiPriority w:val="99"/>
    <w:rsid w:val="00DB33CF"/>
    <w:pPr>
      <w:widowControl/>
      <w:suppressAutoHyphens/>
      <w:adjustRightInd w:val="0"/>
      <w:spacing w:after="130" w:line="288" w:lineRule="auto"/>
      <w:jc w:val="center"/>
      <w:textAlignment w:val="center"/>
    </w:pPr>
    <w:rPr>
      <w:rFonts w:eastAsiaTheme="minorHAnsi"/>
      <w:b/>
      <w:bCs/>
      <w:color w:val="043468"/>
      <w:spacing w:val="-1"/>
      <w:sz w:val="19"/>
      <w:szCs w:val="19"/>
      <w:lang w:val="es-ES_trad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Mauricio Vargas Rincón</dc:creator>
  <cp:keywords/>
  <dc:description/>
  <cp:lastModifiedBy>Freddy Mauricio Vargas Rincón</cp:lastModifiedBy>
  <cp:revision>4</cp:revision>
  <dcterms:created xsi:type="dcterms:W3CDTF">2019-07-29T15:34:00Z</dcterms:created>
  <dcterms:modified xsi:type="dcterms:W3CDTF">2019-07-29T15:54:00Z</dcterms:modified>
</cp:coreProperties>
</file>