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EEF4"/>
  <w:body>
    <w:p w:rsidR="002453D0" w:rsidRDefault="002453D0">
      <w:pPr>
        <w:spacing w:line="165" w:lineRule="auto"/>
        <w:jc w:val="center"/>
        <w:rPr>
          <w:rFonts w:ascii="Krub ExtraLight" w:hAnsi="Krub ExtraLight"/>
          <w:sz w:val="36"/>
        </w:rPr>
        <w:sectPr w:rsidR="002453D0">
          <w:headerReference w:type="default" r:id="rId6"/>
          <w:type w:val="continuous"/>
          <w:pgSz w:w="16840" w:h="11910" w:orient="landscape"/>
          <w:pgMar w:top="300" w:right="1380" w:bottom="0" w:left="1080" w:header="720" w:footer="720" w:gutter="0"/>
          <w:cols w:num="2" w:space="720" w:equalWidth="0">
            <w:col w:w="1778" w:space="3644"/>
            <w:col w:w="8958"/>
          </w:cols>
        </w:sectPr>
      </w:pPr>
    </w:p>
    <w:p w:rsidR="002453D0" w:rsidRDefault="00B361C5">
      <w:pPr>
        <w:pStyle w:val="Textoindependiente"/>
        <w:rPr>
          <w:rFonts w:ascii="Krub ExtraLight"/>
          <w:sz w:val="20"/>
        </w:rPr>
      </w:pPr>
      <w:r>
        <w:rPr>
          <w:rFonts w:ascii="Krub ExtraLight"/>
          <w:noProof/>
          <w:sz w:val="20"/>
          <w:lang w:val="es-CO" w:eastAsia="es-CO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-1080399</wp:posOffset>
            </wp:positionV>
            <wp:extent cx="10675213" cy="754886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rumento-03_Metodología-de-Diseño-de-Ambientes-de-Aprendizaje-Accesibles-con-Incoporación-de-Afectividad_Página_1_Página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213" cy="754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E17439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72"/>
          <w:szCs w:val="72"/>
        </w:rPr>
      </w:pPr>
      <w:r w:rsidRPr="00F90500">
        <w:rPr>
          <w:rFonts w:asciiTheme="minorHAnsi" w:hAnsiTheme="minorHAnsi" w:cstheme="minorHAnsi"/>
          <w:color w:val="C4085E"/>
          <w:sz w:val="72"/>
          <w:szCs w:val="72"/>
        </w:rPr>
        <w:t xml:space="preserve">Instrumento </w:t>
      </w:r>
      <w:r w:rsidR="003B69D9">
        <w:rPr>
          <w:rFonts w:asciiTheme="minorHAnsi" w:hAnsiTheme="minorHAnsi" w:cstheme="minorHAnsi"/>
          <w:color w:val="C4085E"/>
          <w:sz w:val="72"/>
          <w:szCs w:val="72"/>
        </w:rPr>
        <w:t>2</w:t>
      </w:r>
    </w:p>
    <w:p w:rsidR="002453D0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28"/>
          <w:szCs w:val="28"/>
        </w:rPr>
        <w:sectPr w:rsidR="002453D0" w:rsidRPr="00F90500">
          <w:type w:val="continuous"/>
          <w:pgSz w:w="16840" w:h="11910" w:orient="landscape"/>
          <w:pgMar w:top="300" w:right="1380" w:bottom="0" w:left="1080" w:header="720" w:footer="720" w:gutter="0"/>
          <w:cols w:space="720"/>
        </w:sectPr>
      </w:pPr>
      <w:r w:rsidRPr="00F90500">
        <w:rPr>
          <w:rFonts w:asciiTheme="minorHAnsi" w:hAnsiTheme="minorHAnsi" w:cstheme="minorHAnsi"/>
          <w:color w:val="C4085E"/>
          <w:sz w:val="28"/>
          <w:szCs w:val="28"/>
        </w:rPr>
        <w:t xml:space="preserve">Metodología de Diseño de Ambientes de 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br/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Aprendizaje Accesibles con Inco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t>r</w:t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poración de Afectividad</w:t>
      </w:r>
    </w:p>
    <w:p w:rsidR="00B361C5" w:rsidRDefault="00B361C5" w:rsidP="00B361C5"/>
    <w:p w:rsidR="00B361C5" w:rsidRDefault="00B361C5" w:rsidP="00B361C5"/>
    <w:p w:rsidR="003B69D9" w:rsidRPr="00D97302" w:rsidRDefault="003B69D9" w:rsidP="003B69D9">
      <w:pPr>
        <w:jc w:val="center"/>
        <w:rPr>
          <w:rFonts w:asciiTheme="minorHAnsi" w:hAnsiTheme="minorHAnsi" w:cstheme="minorHAnsi"/>
          <w:color w:val="C4085E"/>
          <w:sz w:val="36"/>
          <w:szCs w:val="36"/>
        </w:rPr>
      </w:pPr>
      <w:r w:rsidRPr="00D97302">
        <w:rPr>
          <w:rFonts w:asciiTheme="minorHAnsi" w:hAnsiTheme="minorHAnsi" w:cstheme="minorHAnsi"/>
          <w:color w:val="C4085E"/>
          <w:sz w:val="36"/>
          <w:szCs w:val="36"/>
        </w:rPr>
        <w:t>Instrumento de análisis de aspectos asociados a fenómenos educativos</w:t>
      </w:r>
    </w:p>
    <w:p w:rsidR="00D97302" w:rsidRDefault="00D97302" w:rsidP="003B69D9">
      <w:pPr>
        <w:rPr>
          <w:rFonts w:asciiTheme="minorHAnsi" w:hAnsiTheme="minorHAnsi" w:cstheme="minorHAnsi"/>
          <w:sz w:val="24"/>
          <w:szCs w:val="24"/>
        </w:rPr>
      </w:pPr>
    </w:p>
    <w:p w:rsidR="002453D0" w:rsidRPr="00D97302" w:rsidRDefault="003B69D9" w:rsidP="003B69D9">
      <w:pPr>
        <w:rPr>
          <w:rFonts w:asciiTheme="minorHAnsi" w:hAnsiTheme="minorHAnsi" w:cstheme="minorHAnsi"/>
          <w:sz w:val="24"/>
          <w:szCs w:val="24"/>
        </w:rPr>
      </w:pPr>
      <w:r w:rsidRPr="00D97302">
        <w:rPr>
          <w:rFonts w:asciiTheme="minorHAnsi" w:hAnsiTheme="minorHAnsi" w:cstheme="minorHAnsi"/>
          <w:sz w:val="24"/>
          <w:szCs w:val="24"/>
        </w:rPr>
        <w:t>Instrumento para uso de la Metodología de Diseño de Ambientes de Aprendizaje Accesibles con Incorporación de Afectividad. Para más información del instrumento puede remitirse a la página 23 del documento Metodología de Diseño de Ambientes de Aprendizaje Accesibles con Incorporación de Afectividad- ACACIA Cultiva, disponible en:</w:t>
      </w:r>
      <w:r w:rsidR="001947DD" w:rsidRPr="00D97302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1947DD" w:rsidRPr="00D97302">
          <w:rPr>
            <w:rStyle w:val="Hipervnculo"/>
            <w:rFonts w:asciiTheme="minorHAnsi" w:hAnsiTheme="minorHAnsi" w:cstheme="minorHAnsi"/>
            <w:sz w:val="24"/>
            <w:szCs w:val="24"/>
          </w:rPr>
          <w:t>https://acacia.red/udfjc/category/cultiva/</w:t>
        </w:r>
      </w:hyperlink>
    </w:p>
    <w:p w:rsidR="003B69D9" w:rsidRPr="00D97302" w:rsidRDefault="003B69D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C4085E"/>
          <w:left w:val="single" w:sz="4" w:space="0" w:color="C4085E"/>
          <w:bottom w:val="single" w:sz="4" w:space="0" w:color="C4085E"/>
          <w:right w:val="single" w:sz="4" w:space="0" w:color="C4085E"/>
          <w:insideH w:val="single" w:sz="4" w:space="0" w:color="C4085E"/>
          <w:insideV w:val="single" w:sz="4" w:space="0" w:color="C4085E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52"/>
        <w:gridCol w:w="3685"/>
        <w:gridCol w:w="4123"/>
        <w:gridCol w:w="4288"/>
      </w:tblGrid>
      <w:tr w:rsidR="003B69D9" w:rsidRPr="00D97302" w:rsidTr="005A7A17">
        <w:trPr>
          <w:trHeight w:val="953"/>
        </w:trPr>
        <w:tc>
          <w:tcPr>
            <w:tcW w:w="2552" w:type="dxa"/>
            <w:shd w:val="clear" w:color="auto" w:fill="751042"/>
            <w:vAlign w:val="center"/>
          </w:tcPr>
          <w:p w:rsidR="003B69D9" w:rsidRPr="00D97302" w:rsidRDefault="003B69D9" w:rsidP="005A7A17">
            <w:pPr>
              <w:pStyle w:val="TableParagraph"/>
              <w:ind w:right="2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30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FENÓMENOS</w:t>
            </w:r>
          </w:p>
        </w:tc>
        <w:tc>
          <w:tcPr>
            <w:tcW w:w="3685" w:type="dxa"/>
            <w:shd w:val="clear" w:color="auto" w:fill="751042"/>
            <w:vAlign w:val="center"/>
          </w:tcPr>
          <w:p w:rsidR="003B69D9" w:rsidRPr="001520C0" w:rsidRDefault="001520C0" w:rsidP="005A7A17">
            <w:pPr>
              <w:pStyle w:val="TableParagraph"/>
              <w:spacing w:before="1" w:line="18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0C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INDICADORES QUE ESTÁN PRESENTES TOTALMENTE EN EL AMBIENTE</w:t>
            </w:r>
          </w:p>
        </w:tc>
        <w:tc>
          <w:tcPr>
            <w:tcW w:w="4123" w:type="dxa"/>
            <w:shd w:val="clear" w:color="auto" w:fill="751042"/>
            <w:vAlign w:val="center"/>
          </w:tcPr>
          <w:p w:rsidR="003B69D9" w:rsidRPr="001520C0" w:rsidRDefault="001520C0" w:rsidP="005A7A17">
            <w:pPr>
              <w:pStyle w:val="TableParagraph"/>
              <w:spacing w:before="1" w:line="18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0C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INDICADORES QUE ESTÁN PARCIALMENTE EN EL AMBIENTE</w:t>
            </w:r>
          </w:p>
        </w:tc>
        <w:tc>
          <w:tcPr>
            <w:tcW w:w="4288" w:type="dxa"/>
            <w:shd w:val="clear" w:color="auto" w:fill="751042"/>
            <w:vAlign w:val="center"/>
          </w:tcPr>
          <w:p w:rsidR="003B69D9" w:rsidRPr="001520C0" w:rsidRDefault="001520C0" w:rsidP="005A7A17">
            <w:pPr>
              <w:pStyle w:val="TableParagraph"/>
              <w:spacing w:before="168" w:line="189" w:lineRule="auto"/>
              <w:ind w:right="1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0C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INDICADORES QUE NO ESTÁN PRESENTES EN EL AMBIENTE</w:t>
            </w:r>
          </w:p>
        </w:tc>
      </w:tr>
      <w:tr w:rsidR="003B69D9" w:rsidRPr="00D97302" w:rsidTr="00D45CC7">
        <w:trPr>
          <w:trHeight w:val="1012"/>
        </w:trPr>
        <w:tc>
          <w:tcPr>
            <w:tcW w:w="2552" w:type="dxa"/>
            <w:shd w:val="clear" w:color="auto" w:fill="F9D7DD"/>
          </w:tcPr>
          <w:p w:rsidR="003B69D9" w:rsidRPr="00D97302" w:rsidRDefault="003B69D9" w:rsidP="00EA340E">
            <w:pPr>
              <w:pStyle w:val="TableParagraph"/>
              <w:spacing w:before="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69D9" w:rsidRPr="00D97302" w:rsidRDefault="003B69D9" w:rsidP="003B69D9">
            <w:pPr>
              <w:pStyle w:val="TableParagraph"/>
              <w:ind w:left="284" w:righ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302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Deserción</w:t>
            </w:r>
          </w:p>
        </w:tc>
        <w:tc>
          <w:tcPr>
            <w:tcW w:w="3685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tabs>
                <w:tab w:val="left" w:pos="139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tabs>
                <w:tab w:val="left" w:pos="139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88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tabs>
                <w:tab w:val="left" w:pos="139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9D9" w:rsidRPr="00D97302" w:rsidTr="005A7A17">
        <w:trPr>
          <w:trHeight w:val="895"/>
        </w:trPr>
        <w:tc>
          <w:tcPr>
            <w:tcW w:w="2552" w:type="dxa"/>
            <w:shd w:val="clear" w:color="auto" w:fill="F9D7DD"/>
          </w:tcPr>
          <w:p w:rsidR="003B69D9" w:rsidRPr="00D97302" w:rsidRDefault="003B69D9" w:rsidP="00EA340E">
            <w:pPr>
              <w:pStyle w:val="TableParagraph"/>
              <w:spacing w:before="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69D9" w:rsidRPr="00D97302" w:rsidRDefault="003B69D9" w:rsidP="003B69D9">
            <w:pPr>
              <w:pStyle w:val="TableParagraph"/>
              <w:ind w:left="284" w:righ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302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Tensión didáctica</w:t>
            </w:r>
          </w:p>
        </w:tc>
        <w:tc>
          <w:tcPr>
            <w:tcW w:w="3685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88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9D9" w:rsidRPr="00D97302" w:rsidTr="005A7A17">
        <w:trPr>
          <w:trHeight w:val="963"/>
        </w:trPr>
        <w:tc>
          <w:tcPr>
            <w:tcW w:w="2552" w:type="dxa"/>
            <w:shd w:val="clear" w:color="auto" w:fill="F9D7DD"/>
          </w:tcPr>
          <w:p w:rsidR="003B69D9" w:rsidRPr="00D97302" w:rsidRDefault="003B69D9" w:rsidP="00EA340E">
            <w:pPr>
              <w:pStyle w:val="TableParagraph"/>
              <w:spacing w:before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69D9" w:rsidRPr="00D97302" w:rsidRDefault="003B69D9" w:rsidP="003B69D9">
            <w:pPr>
              <w:pStyle w:val="TableParagraph"/>
              <w:ind w:left="284" w:right="2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302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Bajo rendimiento</w:t>
            </w:r>
          </w:p>
        </w:tc>
        <w:tc>
          <w:tcPr>
            <w:tcW w:w="3685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88" w:type="dxa"/>
            <w:shd w:val="clear" w:color="auto" w:fill="FDEFF2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9D9" w:rsidRPr="00D97302" w:rsidTr="00D97302">
        <w:trPr>
          <w:trHeight w:val="974"/>
        </w:trPr>
        <w:tc>
          <w:tcPr>
            <w:tcW w:w="2552" w:type="dxa"/>
            <w:shd w:val="clear" w:color="auto" w:fill="F9D7DD"/>
          </w:tcPr>
          <w:p w:rsidR="003B69D9" w:rsidRPr="00D97302" w:rsidRDefault="003B69D9" w:rsidP="003B69D9">
            <w:pPr>
              <w:pStyle w:val="TableParagraph"/>
              <w:spacing w:line="189" w:lineRule="auto"/>
              <w:ind w:left="426" w:firstLine="24"/>
              <w:jc w:val="both"/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</w:pPr>
          </w:p>
          <w:p w:rsidR="003B69D9" w:rsidRPr="00D97302" w:rsidRDefault="003B69D9" w:rsidP="00D97302">
            <w:pPr>
              <w:pStyle w:val="TableParagraph"/>
              <w:spacing w:line="189" w:lineRule="auto"/>
              <w:ind w:left="30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7302">
              <w:rPr>
                <w:rFonts w:asciiTheme="minorHAnsi" w:hAnsiTheme="minorHAnsi" w:cstheme="minorHAnsi"/>
                <w:b/>
                <w:color w:val="360E23"/>
                <w:sz w:val="24"/>
                <w:szCs w:val="24"/>
              </w:rPr>
              <w:t>Contingencias institucionales</w:t>
            </w:r>
          </w:p>
        </w:tc>
        <w:tc>
          <w:tcPr>
            <w:tcW w:w="3685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88" w:type="dxa"/>
            <w:shd w:val="clear" w:color="auto" w:fill="FCE7EE"/>
          </w:tcPr>
          <w:p w:rsidR="003B69D9" w:rsidRPr="00D97302" w:rsidRDefault="003B69D9" w:rsidP="005A7A1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69D9" w:rsidRPr="00D97302" w:rsidRDefault="003B69D9" w:rsidP="00941F24">
      <w:pPr>
        <w:rPr>
          <w:rFonts w:asciiTheme="minorHAnsi" w:hAnsiTheme="minorHAnsi" w:cstheme="minorHAnsi"/>
          <w:sz w:val="24"/>
          <w:szCs w:val="24"/>
        </w:rPr>
      </w:pPr>
    </w:p>
    <w:sectPr w:rsidR="003B69D9" w:rsidRPr="00D97302" w:rsidSect="00F90500">
      <w:pgSz w:w="1684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F6" w:rsidRDefault="00F55BF6" w:rsidP="00B6326D">
      <w:r>
        <w:separator/>
      </w:r>
    </w:p>
  </w:endnote>
  <w:endnote w:type="continuationSeparator" w:id="0">
    <w:p w:rsidR="00F55BF6" w:rsidRDefault="00F55BF6" w:rsidP="00B6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tillium Web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Krub ExtraLight">
    <w:altName w:val="Arial Unicode MS"/>
    <w:charset w:val="00"/>
    <w:family w:val="auto"/>
    <w:pitch w:val="variable"/>
    <w:sig w:usb0="00000000" w:usb1="00000000" w:usb2="00000000" w:usb3="00000000" w:csb0="0001019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F6" w:rsidRDefault="00F55BF6" w:rsidP="00B6326D">
      <w:r>
        <w:separator/>
      </w:r>
    </w:p>
  </w:footnote>
  <w:footnote w:type="continuationSeparator" w:id="0">
    <w:p w:rsidR="00F55BF6" w:rsidRDefault="00F55BF6" w:rsidP="00B6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6D" w:rsidRPr="00B6326D" w:rsidRDefault="00B361C5" w:rsidP="00B6326D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10689590" cy="1345565"/>
          <wp:effectExtent l="0" t="0" r="0" b="0"/>
          <wp:wrapThrough wrapText="bothSides">
            <wp:wrapPolygon edited="0">
              <wp:start x="21600" y="21600"/>
              <wp:lineTo x="21600" y="4781"/>
              <wp:lineTo x="12208" y="2334"/>
              <wp:lineTo x="11438" y="2334"/>
              <wp:lineTo x="11361" y="2946"/>
              <wp:lineTo x="11245" y="5698"/>
              <wp:lineTo x="11284" y="6921"/>
              <wp:lineTo x="44" y="9674"/>
              <wp:lineTo x="44" y="21600"/>
              <wp:lineTo x="21600" y="2160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urs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689590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aeef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D0"/>
    <w:rsid w:val="000C4F15"/>
    <w:rsid w:val="00147B68"/>
    <w:rsid w:val="001520C0"/>
    <w:rsid w:val="001947DD"/>
    <w:rsid w:val="002453D0"/>
    <w:rsid w:val="002C0EEA"/>
    <w:rsid w:val="003B69D9"/>
    <w:rsid w:val="004C1181"/>
    <w:rsid w:val="005A7A17"/>
    <w:rsid w:val="005D43D7"/>
    <w:rsid w:val="00787AA5"/>
    <w:rsid w:val="00941F24"/>
    <w:rsid w:val="00B361C5"/>
    <w:rsid w:val="00B6326D"/>
    <w:rsid w:val="00B97DF0"/>
    <w:rsid w:val="00D45CC7"/>
    <w:rsid w:val="00D804BE"/>
    <w:rsid w:val="00D97302"/>
    <w:rsid w:val="00DB5C69"/>
    <w:rsid w:val="00E17439"/>
    <w:rsid w:val="00F55BF6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ef4"/>
    </o:shapedefaults>
    <o:shapelayout v:ext="edit">
      <o:idmap v:ext="edit" data="1"/>
    </o:shapelayout>
  </w:shapeDefaults>
  <w:decimalSymbol w:val=","/>
  <w:listSeparator w:val=";"/>
  <w15:docId w15:val="{0C9EF03E-D1AC-4F3F-AD91-E486C62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tillium Web" w:eastAsia="Titillium Web" w:hAnsi="Titillium Web" w:cs="Titillium Web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tillium Web SemiBold" w:eastAsia="Titillium Web SemiBold" w:hAnsi="Titillium Web SemiBold" w:cs="Titillium Web SemiBold"/>
    </w:rPr>
  </w:style>
  <w:style w:type="paragraph" w:styleId="Encabezado">
    <w:name w:val="header"/>
    <w:basedOn w:val="Normal"/>
    <w:link w:val="Encabezado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36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cia.red/udfjc/category/cultiv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Intrumento-03-Metodología-de-Diseño-de-Ambientes-de-Aprendizaje-Accesibles-con-Incoporación-de-Afectividad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Intrumento-03-Metodología-de-Diseño-de-Ambientes-de-Aprendizaje-Accesibles-con-Incoporación-de-Afectividad</dc:title>
  <dc:subject>Para diligenciar</dc:subject>
  <dc:creator>ACACIA Cultiva</dc:creator>
  <cp:keywords>Instrumento</cp:keywords>
  <cp:lastModifiedBy>Dora Calderon</cp:lastModifiedBy>
  <cp:revision>2</cp:revision>
  <dcterms:created xsi:type="dcterms:W3CDTF">2019-08-23T16:02:00Z</dcterms:created>
  <dcterms:modified xsi:type="dcterms:W3CDTF">2019-08-23T16:02:00Z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2019-06-18T00:00:00Z</vt:filetime>
  </property>
</Properties>
</file>